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103" w:rsidRPr="00645103" w:rsidRDefault="00645103" w:rsidP="00645103">
      <w:pPr>
        <w:spacing w:after="0" w:line="240" w:lineRule="auto"/>
        <w:jc w:val="both"/>
        <w:rPr>
          <w:rFonts w:ascii="Calibri" w:hAnsi="Calibri"/>
          <w:b/>
          <w:bCs/>
          <w:iCs/>
          <w:caps/>
          <w:lang w:val="it-IT"/>
        </w:rPr>
      </w:pPr>
      <w:r w:rsidRPr="00645103">
        <w:rPr>
          <w:rFonts w:ascii="Calibri" w:hAnsi="Calibri"/>
          <w:b/>
          <w:bCs/>
          <w:iCs/>
          <w:caps/>
          <w:lang w:val="it-IT"/>
        </w:rPr>
        <w:t>Strategie politico-sanitarie per un’assistenza sostenibile</w:t>
      </w:r>
    </w:p>
    <w:p w:rsidR="00645103" w:rsidRPr="00645103" w:rsidRDefault="00645103" w:rsidP="001C63AB">
      <w:pPr>
        <w:spacing w:after="0" w:line="240" w:lineRule="auto"/>
        <w:jc w:val="both"/>
        <w:rPr>
          <w:rFonts w:ascii="Calibri" w:hAnsi="Calibri"/>
          <w:b/>
        </w:rPr>
      </w:pPr>
    </w:p>
    <w:p w:rsidR="00645103" w:rsidRPr="00645103" w:rsidRDefault="00645103" w:rsidP="00645103">
      <w:pPr>
        <w:spacing w:after="0" w:line="240" w:lineRule="auto"/>
        <w:jc w:val="both"/>
        <w:rPr>
          <w:rFonts w:ascii="Calibri" w:hAnsi="Calibri"/>
        </w:rPr>
      </w:pPr>
      <w:r w:rsidRPr="00645103">
        <w:rPr>
          <w:rFonts w:ascii="Calibri" w:hAnsi="Calibri"/>
        </w:rPr>
        <w:t>Abstract</w:t>
      </w:r>
    </w:p>
    <w:p w:rsidR="00645103" w:rsidRPr="00645103" w:rsidRDefault="00645103" w:rsidP="001C63AB">
      <w:pPr>
        <w:spacing w:after="0" w:line="240" w:lineRule="auto"/>
        <w:jc w:val="both"/>
        <w:rPr>
          <w:rFonts w:ascii="Calibri" w:hAnsi="Calibri"/>
          <w:b/>
        </w:rPr>
      </w:pPr>
    </w:p>
    <w:p w:rsidR="001C63AB" w:rsidRPr="00645103" w:rsidRDefault="001C63AB" w:rsidP="001C63AB">
      <w:pPr>
        <w:spacing w:after="0" w:line="240" w:lineRule="auto"/>
        <w:jc w:val="both"/>
        <w:rPr>
          <w:rFonts w:ascii="Calibri" w:hAnsi="Calibri"/>
          <w:b/>
        </w:rPr>
      </w:pPr>
      <w:r w:rsidRPr="00645103">
        <w:rPr>
          <w:rFonts w:ascii="Calibri" w:hAnsi="Calibri"/>
          <w:b/>
        </w:rPr>
        <w:t>FRANCESCO BRANCA</w:t>
      </w:r>
    </w:p>
    <w:p w:rsidR="00AD32A8" w:rsidRPr="00645103" w:rsidRDefault="00AD32A8" w:rsidP="001C63AB">
      <w:pPr>
        <w:spacing w:after="0" w:line="240" w:lineRule="auto"/>
        <w:jc w:val="both"/>
        <w:rPr>
          <w:rFonts w:ascii="Calibri" w:hAnsi="Calibri"/>
        </w:rPr>
      </w:pPr>
    </w:p>
    <w:p w:rsidR="001C63AB" w:rsidRPr="00645103" w:rsidRDefault="001C63AB" w:rsidP="001C63AB">
      <w:pPr>
        <w:spacing w:after="0" w:line="240" w:lineRule="auto"/>
        <w:jc w:val="both"/>
        <w:rPr>
          <w:rFonts w:ascii="Calibri" w:hAnsi="Calibri"/>
          <w:b/>
          <w:bCs/>
          <w:i/>
          <w:iCs/>
          <w:lang w:val="it-IT"/>
        </w:rPr>
      </w:pPr>
    </w:p>
    <w:p w:rsidR="001C63AB" w:rsidRPr="00645103" w:rsidRDefault="001C63AB" w:rsidP="006F64C4">
      <w:pPr>
        <w:spacing w:after="0" w:line="240" w:lineRule="auto"/>
        <w:jc w:val="both"/>
        <w:rPr>
          <w:rFonts w:ascii="Calibri" w:hAnsi="Calibri"/>
        </w:rPr>
      </w:pPr>
      <w:r w:rsidRPr="00645103">
        <w:rPr>
          <w:rFonts w:ascii="Calibri" w:hAnsi="Calibri"/>
        </w:rPr>
        <w:t>La demenza rappresenta una delle più grandi sfide che la società occidentale odierna è chiamata ad affrontare; questa coinvolge, oltre al sistema sanitario, anche quello socio assistenziale e le famiglie. La dimensione epidemiologica e la lunga durata della malattia, unite a un progressivo invecchiamento della popolazione mondiale, hanno spinto i governi dei diversi Stati (Svizzera compresa) a elaborare strategie mirate, volte a garantire una presa in carico di qualità per le persone affette da demenza e un adeguato supporto a coloro che li assistono.</w:t>
      </w:r>
    </w:p>
    <w:p w:rsidR="001C63AB" w:rsidRPr="00645103" w:rsidRDefault="001C63AB" w:rsidP="006F64C4">
      <w:pPr>
        <w:spacing w:after="0" w:line="240" w:lineRule="auto"/>
        <w:jc w:val="both"/>
        <w:rPr>
          <w:rFonts w:ascii="Calibri" w:hAnsi="Calibri"/>
        </w:rPr>
      </w:pPr>
      <w:r w:rsidRPr="00645103">
        <w:rPr>
          <w:rFonts w:ascii="Calibri" w:hAnsi="Calibri"/>
        </w:rPr>
        <w:t>Il Cantone Ticino ha elaborato una strategia cantonale sulle demenze, declinando in progetti operativi le 13 raccomandazioni previste nella “Strategia nazionale sulle demenze 2014-2017”. Le aree d’intervento di tali progetti operativi sono quattro: promozione e sensibilizzazione, accompagnamento e supporto alla malattia, studio e formazione, coordinamento e finanziamento. In termini di orientamento generale, la strategia è focalizzata sul sostegno e sul supporto alla presa in carico domiciliare (per quanto possibile).</w:t>
      </w:r>
    </w:p>
    <w:p w:rsidR="001C63AB" w:rsidRPr="00645103" w:rsidRDefault="001C63AB" w:rsidP="006F64C4">
      <w:pPr>
        <w:spacing w:after="0" w:line="240" w:lineRule="auto"/>
        <w:jc w:val="both"/>
        <w:rPr>
          <w:rFonts w:ascii="Calibri" w:hAnsi="Calibri"/>
        </w:rPr>
      </w:pPr>
    </w:p>
    <w:p w:rsidR="001C63AB" w:rsidRPr="00645103" w:rsidRDefault="001C63AB" w:rsidP="006F64C4">
      <w:pPr>
        <w:spacing w:after="0" w:line="240" w:lineRule="auto"/>
        <w:jc w:val="both"/>
        <w:rPr>
          <w:rFonts w:ascii="Calibri" w:hAnsi="Calibri"/>
        </w:rPr>
      </w:pPr>
      <w:r w:rsidRPr="00645103">
        <w:rPr>
          <w:rFonts w:ascii="Calibri" w:hAnsi="Calibri"/>
        </w:rPr>
        <w:t xml:space="preserve">Le cure palliative hanno assunto, nell’ultimo decennio, una rilevanza sempre maggiore, sia a livello internazionale sia nazionale. Anche in questo caso, il Cantone Ticino, che può vantare una lunga storia nel settore, a partire dalla “Strategia nazionale in materia di cure palliative 2010-2012” ha elaborato una strategia cantonale in termini di progetti operativi, tutti finalizzati a integrare le cure palliative nel sistema sanitario, nel settore sociale, nella formazione e nella ricerca. Come per le demenze, l’obiettivo generale è quello di fornire agli operatori del settore socio-sanitario gli </w:t>
      </w:r>
      <w:r w:rsidRPr="00645103">
        <w:rPr>
          <w:rFonts w:ascii="Calibri" w:hAnsi="Calibri"/>
          <w:bCs/>
          <w:iCs/>
        </w:rPr>
        <w:t>strumenti</w:t>
      </w:r>
      <w:r w:rsidRPr="00645103">
        <w:rPr>
          <w:rFonts w:ascii="Calibri" w:hAnsi="Calibri"/>
        </w:rPr>
        <w:t xml:space="preserve"> necessari per la presa in carico di pazienti palliativi nell’ambiente abituale di vita (per quanto possibile).</w:t>
      </w:r>
    </w:p>
    <w:p w:rsidR="001C63AB" w:rsidRPr="00645103" w:rsidRDefault="001C63AB" w:rsidP="006F64C4">
      <w:pPr>
        <w:spacing w:line="240" w:lineRule="auto"/>
        <w:jc w:val="both"/>
        <w:rPr>
          <w:rFonts w:ascii="Calibri" w:hAnsi="Calibri"/>
        </w:rPr>
      </w:pPr>
      <w:r w:rsidRPr="00645103">
        <w:rPr>
          <w:rFonts w:ascii="Calibri" w:hAnsi="Calibri"/>
        </w:rPr>
        <w:t>Sul piano operativo, il fulcro della strategia è l’individuazione dei pazienti al fine di permettere loro un accesso tempestivo nella rete cantonale di cure palliative. Quest’obiettivo diviene più arduo con i pazienti affetti da demenza; in tal caso, puntando sulla formazione e sulla specializzazione, si punta a coniugare sul piano della presa in carico gli indirizzi delle due strategie.</w:t>
      </w:r>
    </w:p>
    <w:p w:rsidR="001C63AB" w:rsidRPr="00645103" w:rsidRDefault="001C63AB" w:rsidP="006F64C4">
      <w:pPr>
        <w:spacing w:line="240" w:lineRule="auto"/>
        <w:jc w:val="both"/>
        <w:rPr>
          <w:rFonts w:ascii="Calibri" w:hAnsi="Calibri"/>
        </w:rPr>
      </w:pPr>
      <w:r w:rsidRPr="00645103">
        <w:rPr>
          <w:rFonts w:ascii="Calibri" w:hAnsi="Calibri"/>
        </w:rPr>
        <w:t xml:space="preserve">Dato l’alto livello dei costi connessi con questi due fenomeni, per essere sostenibile il sistema richiede, in termini di orientamenti generali, nel settore delle demenze un cambiamento di mentalità e di atteggiamenti della popolazione volto a incrementare la tolleranza dei comportamenti legati alla malattia, quindi l’innalzamento dell’asticella della “normalità” al fine di ridurre le necessità di contenimento, mentre nel settore delle cure palliative la logica che deve affermarsi è di operare nel solco dei costi sostitutivi e non aggiuntivi. </w:t>
      </w:r>
    </w:p>
    <w:p w:rsidR="0047767F" w:rsidRPr="00645103" w:rsidRDefault="0047767F" w:rsidP="001C63AB">
      <w:pPr>
        <w:jc w:val="both"/>
        <w:rPr>
          <w:rFonts w:ascii="Calibri" w:hAnsi="Calibri"/>
        </w:rPr>
      </w:pPr>
    </w:p>
    <w:p w:rsidR="00000CF4" w:rsidRPr="00645103" w:rsidRDefault="00000CF4">
      <w:pPr>
        <w:jc w:val="both"/>
        <w:rPr>
          <w:rFonts w:ascii="Calibri" w:hAnsi="Calibri"/>
        </w:rPr>
      </w:pPr>
      <w:bookmarkStart w:id="0" w:name="_GoBack"/>
      <w:bookmarkEnd w:id="0"/>
    </w:p>
    <w:sectPr w:rsidR="00000CF4" w:rsidRPr="00645103" w:rsidSect="0047767F">
      <w:headerReference w:type="even" r:id="rId7"/>
      <w:headerReference w:type="default" r:id="rId8"/>
      <w:footerReference w:type="even" r:id="rId9"/>
      <w:footerReference w:type="default" r:id="rId10"/>
      <w:headerReference w:type="first" r:id="rId11"/>
      <w:footerReference w:type="first" r:id="rId12"/>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84" w:rsidRDefault="000D3A84" w:rsidP="0047767F">
      <w:pPr>
        <w:spacing w:after="0" w:line="240" w:lineRule="auto"/>
      </w:pPr>
      <w:r>
        <w:separator/>
      </w:r>
    </w:p>
  </w:endnote>
  <w:endnote w:type="continuationSeparator" w:id="0">
    <w:p w:rsidR="000D3A84" w:rsidRDefault="000D3A84"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r w:rsidRPr="0047767F">
      <w:rPr>
        <w:rFonts w:ascii="Trebuchet MS" w:hAnsi="Trebuchet MS"/>
        <w:b/>
        <w:noProof/>
        <w:color w:val="01768A"/>
        <w:spacing w:val="2"/>
        <w:sz w:val="13"/>
        <w:szCs w:val="15"/>
        <w:lang w:eastAsia="it-IT"/>
      </w:rPr>
      <mc:AlternateContent>
        <mc:Choice Requires="wps">
          <w:drawing>
            <wp:anchor distT="0" distB="0" distL="114300" distR="114300" simplePos="0" relativeHeight="251662336" behindDoc="0" locked="0" layoutInCell="1" allowOverlap="1" wp14:anchorId="7F7E6BD9" wp14:editId="2FFC532D">
              <wp:simplePos x="0" y="0"/>
              <wp:positionH relativeFrom="margin">
                <wp:align>center</wp:align>
              </wp:positionH>
              <wp:positionV relativeFrom="paragraph">
                <wp:posOffset>180340</wp:posOffset>
              </wp:positionV>
              <wp:extent cx="6660000" cy="0"/>
              <wp:effectExtent l="0" t="0" r="26670" b="19050"/>
              <wp:wrapNone/>
              <wp:docPr id="47" name="Connettore 2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0000"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9632A8" id="_x0000_t32" coordsize="21600,21600" o:spt="32" o:oned="t" path="m,l21600,21600e" filled="f">
              <v:path arrowok="t" fillok="f" o:connecttype="none"/>
              <o:lock v:ext="edit" shapetype="t"/>
            </v:shapetype>
            <v:shape id="Connettore 2 47" o:spid="_x0000_s1026" type="#_x0000_t32" style="position:absolute;margin-left:0;margin-top:14.2pt;width:524.4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" strokecolor="#aeaaaa">
              <w10:wrap anchorx="margin"/>
            </v:shape>
          </w:pict>
        </mc:Fallback>
      </mc:AlternateContent>
    </w:r>
  </w:p>
  <w:p w:rsidR="0047767F" w:rsidRDefault="0047767F">
    <w:pPr>
      <w:pStyle w:val="Pidipagina"/>
    </w:pPr>
  </w:p>
  <w:p w:rsidR="0047767F" w:rsidRDefault="0047767F">
    <w:pPr>
      <w:pStyle w:val="Pidipagina"/>
    </w:pPr>
  </w:p>
  <w:p w:rsidR="0047767F" w:rsidRDefault="0047767F">
    <w:pPr>
      <w:pStyle w:val="Pidipagina"/>
    </w:pPr>
  </w:p>
  <w:p w:rsidR="0047767F" w:rsidRDefault="0047767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4"/>
      <w:ind w:left="-4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84" w:rsidRDefault="000D3A84" w:rsidP="0047767F">
      <w:pPr>
        <w:spacing w:after="0" w:line="240" w:lineRule="auto"/>
      </w:pPr>
      <w:r>
        <w:separator/>
      </w:r>
    </w:p>
  </w:footnote>
  <w:footnote w:type="continuationSeparator" w:id="0">
    <w:p w:rsidR="000D3A84" w:rsidRDefault="000D3A84"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00CF4"/>
    <w:rsid w:val="000D3A84"/>
    <w:rsid w:val="0012421B"/>
    <w:rsid w:val="00125901"/>
    <w:rsid w:val="00150EFC"/>
    <w:rsid w:val="001C63AB"/>
    <w:rsid w:val="004428F0"/>
    <w:rsid w:val="0047767F"/>
    <w:rsid w:val="00645103"/>
    <w:rsid w:val="006F64C4"/>
    <w:rsid w:val="0081068F"/>
    <w:rsid w:val="009314FC"/>
    <w:rsid w:val="009A4A70"/>
    <w:rsid w:val="00AD32A8"/>
    <w:rsid w:val="00C41C59"/>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1C63AB"/>
    <w:pPr>
      <w:spacing w:after="200" w:line="276" w:lineRule="auto"/>
    </w:pPr>
    <w:rPr>
      <w:lang w:val="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rPr>
      <w:lang w:val="it-IT"/>
    </w:r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rPr>
      <w:lang w:val="it-IT"/>
    </w:r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2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9BED5-FB14-49EE-AAE1-073FF512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2416</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8</cp:revision>
  <dcterms:created xsi:type="dcterms:W3CDTF">2016-11-04T11:19:00Z</dcterms:created>
  <dcterms:modified xsi:type="dcterms:W3CDTF">2016-11-09T12:29:00Z</dcterms:modified>
</cp:coreProperties>
</file>